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40" w:lineRule="atLeast"/>
        <w:jc w:val="right"/>
      </w:pPr>
      <w:r>
        <w:rPr>
          <w:rFonts w:ascii="Times New Roman" w:eastAsia="Times New Roman" w:hAnsi="Times New Roman" w:cs="Times New Roman"/>
        </w:rPr>
        <w:t>КОПИЯ</w:t>
      </w:r>
    </w:p>
    <w:p>
      <w:pPr>
        <w:widowControl w:val="0"/>
        <w:spacing w:before="0" w:after="0" w:line="240" w:lineRule="atLeast"/>
        <w:jc w:val="right"/>
      </w:pPr>
      <w:r>
        <w:rPr>
          <w:rFonts w:ascii="Times New Roman" w:eastAsia="Times New Roman" w:hAnsi="Times New Roman" w:cs="Times New Roman"/>
        </w:rPr>
        <w:t xml:space="preserve">УИД: </w:t>
      </w:r>
      <w:r>
        <w:rPr>
          <w:rFonts w:ascii="Times New Roman" w:eastAsia="Times New Roman" w:hAnsi="Times New Roman" w:cs="Times New Roman"/>
        </w:rPr>
        <w:t>86MS0026-01-2025-000283-14</w:t>
      </w:r>
    </w:p>
    <w:p>
      <w:pPr>
        <w:widowControl w:val="0"/>
        <w:spacing w:before="0" w:after="0" w:line="240" w:lineRule="atLeast"/>
        <w:jc w:val="right"/>
      </w:pPr>
      <w:r>
        <w:rPr>
          <w:rFonts w:ascii="Times New Roman" w:eastAsia="Times New Roman" w:hAnsi="Times New Roman" w:cs="Times New Roman"/>
        </w:rPr>
        <w:t xml:space="preserve">Дело № </w:t>
      </w:r>
      <w:r>
        <w:rPr>
          <w:rFonts w:ascii="Times New Roman" w:eastAsia="Times New Roman" w:hAnsi="Times New Roman" w:cs="Times New Roman"/>
        </w:rPr>
        <w:t>05-0063/2601/2025</w:t>
      </w:r>
      <w:r>
        <w:rPr>
          <w:rFonts w:ascii="Times New Roman" w:eastAsia="Times New Roman" w:hAnsi="Times New Roman" w:cs="Times New Roman"/>
        </w:rPr>
        <w:t xml:space="preserve">   </w:t>
      </w:r>
    </w:p>
    <w:p>
      <w:pPr>
        <w:widowControl w:val="0"/>
        <w:spacing w:before="0" w:after="0" w:line="260" w:lineRule="atLeast"/>
        <w:jc w:val="center"/>
      </w:pPr>
      <w:r>
        <w:rPr>
          <w:rFonts w:ascii="Times New Roman" w:eastAsia="Times New Roman" w:hAnsi="Times New Roman" w:cs="Times New Roman"/>
          <w:sz w:val="26"/>
          <w:szCs w:val="26"/>
        </w:rPr>
        <w:t>П О С Т А Н О В Л Е Н И Е</w:t>
      </w:r>
    </w:p>
    <w:p>
      <w:pPr>
        <w:widowControl w:val="0"/>
        <w:spacing w:before="0" w:after="0" w:line="260" w:lineRule="atLeast"/>
        <w:jc w:val="center"/>
      </w:pPr>
      <w:r>
        <w:rPr>
          <w:rFonts w:ascii="Times New Roman" w:eastAsia="Times New Roman" w:hAnsi="Times New Roman" w:cs="Times New Roman"/>
          <w:sz w:val="26"/>
          <w:szCs w:val="26"/>
        </w:rPr>
        <w:t>по делу об административном правонарушении</w:t>
      </w:r>
    </w:p>
    <w:p>
      <w:pPr>
        <w:widowControl w:val="0"/>
        <w:spacing w:before="0" w:after="0" w:line="240" w:lineRule="atLeast"/>
        <w:jc w:val="center"/>
      </w:pPr>
    </w:p>
    <w:p>
      <w:pPr>
        <w:widowControl w:val="0"/>
        <w:spacing w:before="0" w:after="0" w:line="260" w:lineRule="atLeast"/>
      </w:pPr>
      <w:r>
        <w:rPr>
          <w:rFonts w:ascii="Times New Roman" w:eastAsia="Times New Roman" w:hAnsi="Times New Roman" w:cs="Times New Roman"/>
          <w:sz w:val="26"/>
          <w:szCs w:val="26"/>
        </w:rPr>
        <w:t>город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 января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widowControl w:val="0"/>
        <w:spacing w:before="0" w:after="0" w:line="240" w:lineRule="atLeast"/>
      </w:pPr>
    </w:p>
    <w:p>
      <w:pPr>
        <w:widowControl w:val="0"/>
        <w:spacing w:before="0" w:after="0" w:line="260" w:lineRule="atLeast"/>
        <w:ind w:firstLine="709"/>
        <w:jc w:val="both"/>
      </w:pPr>
      <w:r>
        <w:rPr>
          <w:rFonts w:ascii="Times New Roman" w:eastAsia="Times New Roman" w:hAnsi="Times New Roman" w:cs="Times New Roman"/>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Панков А.Ю.,</w:t>
      </w:r>
      <w:r>
        <w:rPr>
          <w:rFonts w:ascii="Times New Roman" w:eastAsia="Times New Roman" w:hAnsi="Times New Roman" w:cs="Times New Roman"/>
          <w:sz w:val="26"/>
          <w:szCs w:val="26"/>
        </w:rPr>
        <w:t xml:space="preserve"> расположенного по адресу: ХМАО - Югра, г. Сургут, ул. Гагарина, д. 9, каб. 504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предусмотренном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 14.1</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в отношении</w:t>
      </w:r>
    </w:p>
    <w:p>
      <w:pPr>
        <w:widowControl w:val="0"/>
        <w:spacing w:before="0" w:after="0" w:line="260" w:lineRule="atLeast"/>
        <w:ind w:firstLine="709"/>
        <w:jc w:val="both"/>
      </w:pP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Камиля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Исмат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5rplc-10"/>
          <w:rFonts w:ascii="Times New Roman" w:eastAsia="Times New Roman" w:hAnsi="Times New Roman" w:cs="Times New Roman"/>
          <w:sz w:val="26"/>
          <w:szCs w:val="26"/>
        </w:rPr>
        <w:t>...</w:t>
      </w:r>
      <w:r>
        <w:rPr>
          <w:rStyle w:val="cat-UserDefinedgrp-45rplc-10"/>
          <w:rFonts w:ascii="Times New Roman" w:eastAsia="Times New Roman" w:hAnsi="Times New Roman" w:cs="Times New Roman"/>
          <w:sz w:val="26"/>
          <w:szCs w:val="26"/>
        </w:rPr>
        <w:br/>
      </w:r>
    </w:p>
    <w:p>
      <w:pPr>
        <w:widowControl w:val="0"/>
        <w:spacing w:before="0" w:after="0" w:line="260" w:lineRule="atLeast"/>
        <w:ind w:firstLine="709"/>
        <w:jc w:val="both"/>
      </w:pPr>
    </w:p>
    <w:p>
      <w:pPr>
        <w:widowControl w:val="0"/>
        <w:spacing w:before="0" w:after="0" w:line="260" w:lineRule="atLeast"/>
        <w:ind w:firstLine="709"/>
        <w:jc w:val="center"/>
      </w:pPr>
      <w:r>
        <w:rPr>
          <w:rFonts w:ascii="Times New Roman" w:eastAsia="Times New Roman" w:hAnsi="Times New Roman" w:cs="Times New Roman"/>
          <w:sz w:val="26"/>
          <w:szCs w:val="26"/>
        </w:rPr>
        <w:t>УСТАНОВИЛ:</w:t>
      </w:r>
    </w:p>
    <w:p>
      <w:pPr>
        <w:widowControl w:val="0"/>
        <w:spacing w:before="0" w:after="0" w:line="240" w:lineRule="atLeast"/>
        <w:ind w:firstLine="709"/>
        <w:jc w:val="center"/>
      </w:pPr>
    </w:p>
    <w:p>
      <w:pPr>
        <w:spacing w:before="0" w:after="0" w:line="260" w:lineRule="atLeast"/>
        <w:ind w:firstLine="709"/>
        <w:jc w:val="both"/>
      </w:pPr>
      <w:r>
        <w:rPr>
          <w:rFonts w:ascii="Times New Roman" w:eastAsia="Times New Roman" w:hAnsi="Times New Roman" w:cs="Times New Roman"/>
          <w:sz w:val="26"/>
          <w:szCs w:val="26"/>
        </w:rPr>
        <w:t xml:space="preserve">18.12.2024 в 15 час. 25 мин. по адресу: ул. Привокзальная, д. 10, г. Сургут, ХМАО-Югра сотрудниками полиции было остановлено транспортное средство – автомобиль марки </w:t>
      </w:r>
      <w:r>
        <w:rPr>
          <w:rStyle w:val="cat-UserDefinedgrp-47rplc-20"/>
          <w:rFonts w:ascii="Times New Roman" w:eastAsia="Times New Roman" w:hAnsi="Times New Roman" w:cs="Times New Roman"/>
          <w:sz w:val="26"/>
          <w:szCs w:val="26"/>
        </w:rPr>
        <w:t>...</w:t>
      </w:r>
      <w:r>
        <w:rPr>
          <w:rStyle w:val="cat-UserDefinedgrp-46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 управлением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который в период времени с 09.1</w:t>
      </w:r>
      <w:r>
        <w:rPr>
          <w:rFonts w:ascii="Times New Roman" w:eastAsia="Times New Roman" w:hAnsi="Times New Roman" w:cs="Times New Roman"/>
          <w:sz w:val="26"/>
          <w:szCs w:val="26"/>
        </w:rPr>
        <w:t>2.2024 по 18.12.2024 осуществлял перевозку пассажиров на коммерческой основе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 оказанные услуги получал с пассажиров денежные средства, при этом пользовался мобильным приложением </w:t>
      </w:r>
      <w:r>
        <w:rPr>
          <w:rFonts w:ascii="Times New Roman" w:eastAsia="Times New Roman" w:hAnsi="Times New Roman" w:cs="Times New Roman"/>
          <w:sz w:val="26"/>
          <w:szCs w:val="26"/>
        </w:rPr>
        <w:t>«Яндекс ГОУ»</w:t>
      </w:r>
      <w:r>
        <w:rPr>
          <w:rFonts w:ascii="Times New Roman" w:eastAsia="Times New Roman" w:hAnsi="Times New Roman" w:cs="Times New Roman"/>
          <w:sz w:val="26"/>
          <w:szCs w:val="26"/>
        </w:rPr>
        <w:t>, то есть осуществлял предпринимательскую деятельность, при этом не имея государственной регистрации в качестве индивидуального предпринимателя в налоговом органе.</w:t>
      </w:r>
    </w:p>
    <w:p>
      <w:pPr>
        <w:spacing w:before="0" w:after="0" w:line="260" w:lineRule="atLeast"/>
        <w:ind w:firstLine="709"/>
        <w:jc w:val="both"/>
      </w:pPr>
      <w:r>
        <w:rPr>
          <w:rFonts w:ascii="Times New Roman" w:eastAsia="Times New Roman" w:hAnsi="Times New Roman" w:cs="Times New Roman"/>
          <w:sz w:val="26"/>
          <w:szCs w:val="26"/>
        </w:rPr>
        <w:t>Гарибов</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извещен о месте и времени рассмотрения дела об административном правонарушении надлежащим образом, в суд не явился. </w:t>
      </w:r>
    </w:p>
    <w:p>
      <w:pPr>
        <w:spacing w:before="0" w:after="0" w:line="260" w:lineRule="atLeast"/>
        <w:ind w:firstLine="709"/>
        <w:jc w:val="both"/>
      </w:pPr>
      <w:r>
        <w:rPr>
          <w:rFonts w:ascii="Times New Roman" w:eastAsia="Times New Roman" w:hAnsi="Times New Roman" w:cs="Times New Roman"/>
          <w:sz w:val="26"/>
          <w:szCs w:val="26"/>
        </w:rPr>
        <w:t>На основании статьи 25.1 Кодекса Российской Федерации об административных правонарушениях, мировой судья полагает возможным рассмотреть дело в отсутствие лица, в отношении которого ведется производство по делу, по доказательствам, имеющимся в деле об административном правонарушении.</w:t>
      </w:r>
    </w:p>
    <w:p>
      <w:pPr>
        <w:spacing w:before="0" w:after="0" w:line="260" w:lineRule="atLeast"/>
        <w:ind w:firstLine="709"/>
        <w:jc w:val="both"/>
      </w:pPr>
      <w:r>
        <w:rPr>
          <w:rFonts w:ascii="Times New Roman" w:eastAsia="Times New Roman" w:hAnsi="Times New Roman" w:cs="Times New Roman"/>
          <w:sz w:val="26"/>
          <w:szCs w:val="26"/>
        </w:rPr>
        <w:t xml:space="preserve">Изучив материалы дела, прихожу к следующим выводам. </w:t>
      </w:r>
    </w:p>
    <w:p>
      <w:pPr>
        <w:spacing w:before="0" w:after="0" w:line="260" w:lineRule="atLeast"/>
        <w:ind w:firstLine="709"/>
        <w:jc w:val="both"/>
      </w:pPr>
      <w:r>
        <w:rPr>
          <w:rFonts w:ascii="Times New Roman" w:eastAsia="Times New Roman" w:hAnsi="Times New Roman" w:cs="Times New Roman"/>
          <w:sz w:val="26"/>
          <w:szCs w:val="26"/>
        </w:rPr>
        <w:t>В соответствии с ч. 1 ст.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pPr>
        <w:spacing w:before="0" w:after="0" w:line="260" w:lineRule="atLeast"/>
        <w:ind w:firstLine="709"/>
        <w:jc w:val="both"/>
      </w:pPr>
      <w:r>
        <w:rPr>
          <w:rFonts w:ascii="Times New Roman" w:eastAsia="Times New Roman" w:hAnsi="Times New Roman" w:cs="Times New Roman"/>
          <w:sz w:val="26"/>
          <w:szCs w:val="26"/>
        </w:rPr>
        <w:t xml:space="preserve">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w:t>
      </w:r>
      <w:r>
        <w:rPr>
          <w:rFonts w:ascii="Times New Roman" w:eastAsia="Times New Roman" w:hAnsi="Times New Roman" w:cs="Times New Roman"/>
          <w:sz w:val="26"/>
          <w:szCs w:val="26"/>
        </w:rPr>
        <w:t>оказанных услуг и другие обстоятельства не свидетельствуют о том, что данная деятельность была направлена на систематическое получение прибыли.</w:t>
      </w:r>
    </w:p>
    <w:p>
      <w:pPr>
        <w:spacing w:before="0" w:after="0" w:line="260" w:lineRule="atLeast"/>
        <w:ind w:firstLine="709"/>
        <w:jc w:val="both"/>
      </w:pPr>
      <w:r>
        <w:rPr>
          <w:rFonts w:ascii="Times New Roman" w:eastAsia="Times New Roman" w:hAnsi="Times New Roman" w:cs="Times New Roman"/>
          <w:sz w:val="26"/>
          <w:szCs w:val="26"/>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 или транспортных средств.</w:t>
      </w:r>
    </w:p>
    <w:p>
      <w:pPr>
        <w:widowControl w:val="0"/>
        <w:spacing w:before="0" w:after="0" w:line="260" w:lineRule="atLeast"/>
        <w:ind w:firstLine="709"/>
        <w:jc w:val="both"/>
      </w:pP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Гарибовым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и его вина объективно подтверждаются совокупностью исследованных судом доказательств: протоколом об администрат</w:t>
      </w:r>
      <w:r>
        <w:rPr>
          <w:rFonts w:ascii="Times New Roman" w:eastAsia="Times New Roman" w:hAnsi="Times New Roman" w:cs="Times New Roman"/>
          <w:sz w:val="26"/>
          <w:szCs w:val="26"/>
        </w:rPr>
        <w:t>ивном правонарушении 86 № 348019</w:t>
      </w:r>
      <w:r>
        <w:rPr>
          <w:rFonts w:ascii="Times New Roman" w:eastAsia="Times New Roman" w:hAnsi="Times New Roman" w:cs="Times New Roman"/>
          <w:sz w:val="26"/>
          <w:szCs w:val="26"/>
        </w:rPr>
        <w:t xml:space="preserve"> от 18.12.2024, в котором описано вышеизложенное событие правонарушения; рапортом сотрудника полиции от 18.12.2024, в котором изложены обстоятельства совершенного правонарушения; </w:t>
      </w:r>
      <w:r>
        <w:rPr>
          <w:rFonts w:ascii="Times New Roman" w:eastAsia="Times New Roman" w:hAnsi="Times New Roman" w:cs="Times New Roman"/>
          <w:sz w:val="26"/>
          <w:szCs w:val="26"/>
        </w:rPr>
        <w:t>копией водительск</w:t>
      </w:r>
      <w:r>
        <w:rPr>
          <w:rFonts w:ascii="Times New Roman" w:eastAsia="Times New Roman" w:hAnsi="Times New Roman" w:cs="Times New Roman"/>
          <w:sz w:val="26"/>
          <w:szCs w:val="26"/>
        </w:rPr>
        <w:t xml:space="preserve">ого удостоверения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от 18.12.2024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копией паспорта иностранного гражданина № С02915774</w:t>
      </w:r>
      <w:r>
        <w:rPr>
          <w:rFonts w:ascii="Times New Roman" w:eastAsia="Times New Roman" w:hAnsi="Times New Roman" w:cs="Times New Roman"/>
          <w:sz w:val="26"/>
          <w:szCs w:val="26"/>
        </w:rPr>
        <w:t xml:space="preserve">, принадлежащего </w:t>
      </w:r>
      <w:r>
        <w:rPr>
          <w:rFonts w:ascii="Times New Roman" w:eastAsia="Times New Roman" w:hAnsi="Times New Roman" w:cs="Times New Roman"/>
          <w:sz w:val="26"/>
          <w:szCs w:val="26"/>
        </w:rPr>
        <w:t>Гарибову</w:t>
      </w:r>
      <w:r>
        <w:rPr>
          <w:rFonts w:ascii="Times New Roman" w:eastAsia="Times New Roman" w:hAnsi="Times New Roman" w:cs="Times New Roman"/>
          <w:sz w:val="26"/>
          <w:szCs w:val="26"/>
        </w:rPr>
        <w:t xml:space="preserve"> К.И.</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sz w:val="26"/>
          <w:szCs w:val="26"/>
        </w:rPr>
        <w:t>разрешением</w:t>
      </w:r>
      <w:r>
        <w:rPr>
          <w:rFonts w:ascii="Times New Roman" w:eastAsia="Times New Roman" w:hAnsi="Times New Roman" w:cs="Times New Roman"/>
          <w:sz w:val="26"/>
          <w:szCs w:val="26"/>
        </w:rPr>
        <w:t xml:space="preserve"> на вр</w:t>
      </w:r>
      <w:r>
        <w:rPr>
          <w:rFonts w:ascii="Times New Roman" w:eastAsia="Times New Roman" w:hAnsi="Times New Roman" w:cs="Times New Roman"/>
          <w:sz w:val="26"/>
          <w:szCs w:val="26"/>
        </w:rPr>
        <w:t>еменное проживание</w:t>
      </w:r>
      <w:r>
        <w:rPr>
          <w:rFonts w:ascii="Times New Roman" w:eastAsia="Times New Roman" w:hAnsi="Times New Roman" w:cs="Times New Roman"/>
          <w:sz w:val="26"/>
          <w:szCs w:val="26"/>
        </w:rPr>
        <w:t>; копией свидетельства о регистрации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транспортного средства – автомобиля марки </w:t>
      </w:r>
      <w:r>
        <w:rPr>
          <w:rStyle w:val="cat-UserDefinedgrp-47rplc-36"/>
          <w:rFonts w:ascii="Times New Roman" w:eastAsia="Times New Roman" w:hAnsi="Times New Roman" w:cs="Times New Roman"/>
          <w:sz w:val="26"/>
          <w:szCs w:val="26"/>
        </w:rPr>
        <w:t>...</w:t>
      </w:r>
      <w:r>
        <w:rPr>
          <w:rFonts w:ascii="Times New Roman" w:eastAsia="Times New Roman" w:hAnsi="Times New Roman" w:cs="Times New Roman"/>
          <w:sz w:val="26"/>
          <w:szCs w:val="26"/>
        </w:rPr>
        <w:t>, принадлежащего Тагировой М.Г.;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объяснения </w:t>
      </w:r>
      <w:r>
        <w:rPr>
          <w:rFonts w:ascii="Times New Roman" w:eastAsia="Times New Roman" w:hAnsi="Times New Roman" w:cs="Times New Roman"/>
          <w:sz w:val="26"/>
          <w:szCs w:val="26"/>
        </w:rPr>
        <w:t>Хрулевой</w:t>
      </w:r>
      <w:r>
        <w:rPr>
          <w:rFonts w:ascii="Times New Roman" w:eastAsia="Times New Roman" w:hAnsi="Times New Roman" w:cs="Times New Roman"/>
          <w:sz w:val="26"/>
          <w:szCs w:val="26"/>
        </w:rPr>
        <w:t xml:space="preserve"> О.В.</w:t>
      </w:r>
      <w:r>
        <w:rPr>
          <w:rFonts w:ascii="Times New Roman" w:eastAsia="Times New Roman" w:hAnsi="Times New Roman" w:cs="Times New Roman"/>
          <w:sz w:val="26"/>
          <w:szCs w:val="26"/>
        </w:rPr>
        <w:t xml:space="preserve"> от 18.12.2024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скриншотами из </w:t>
      </w:r>
      <w:r>
        <w:rPr>
          <w:rFonts w:ascii="Times New Roman" w:eastAsia="Times New Roman" w:hAnsi="Times New Roman" w:cs="Times New Roman"/>
          <w:sz w:val="26"/>
          <w:szCs w:val="26"/>
        </w:rPr>
        <w:t>приложения «Яндекс ГОУ»;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сведениями об отсутствии данных о государственной регистрации в качестве индивидуального</w:t>
      </w:r>
      <w:r>
        <w:rPr>
          <w:rFonts w:ascii="Times New Roman" w:eastAsia="Times New Roman" w:hAnsi="Times New Roman" w:cs="Times New Roman"/>
          <w:sz w:val="26"/>
          <w:szCs w:val="26"/>
        </w:rPr>
        <w:t xml:space="preserve"> предпринимателя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справкой на лицо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p>
    <w:p>
      <w:pPr>
        <w:spacing w:before="0" w:after="0" w:line="260" w:lineRule="atLeast"/>
        <w:ind w:firstLine="709"/>
        <w:jc w:val="both"/>
      </w:pPr>
      <w:r>
        <w:rPr>
          <w:rFonts w:ascii="Times New Roman" w:eastAsia="Times New Roman" w:hAnsi="Times New Roman" w:cs="Times New Roman"/>
          <w:sz w:val="26"/>
          <w:szCs w:val="26"/>
        </w:rPr>
        <w:t>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w:t>
      </w:r>
      <w:r>
        <w:rPr>
          <w:rFonts w:ascii="Times New Roman" w:eastAsia="Times New Roman" w:hAnsi="Times New Roman" w:cs="Times New Roman"/>
        </w:rPr>
        <w:t xml:space="preserve">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административного правонарушения.</w:t>
      </w:r>
    </w:p>
    <w:p>
      <w:pPr>
        <w:spacing w:before="0" w:after="0" w:line="260" w:lineRule="atLeast"/>
        <w:ind w:firstLine="709"/>
        <w:jc w:val="both"/>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мировой судья квалифицирует по ч. 1 ст. 14.1 Кодекса Российской Федерации об административных правонарушениях – как </w:t>
      </w:r>
      <w:r>
        <w:rPr>
          <w:rFonts w:ascii="Times New Roman" w:eastAsia="Times New Roman" w:hAnsi="Times New Roman" w:cs="Times New Roman"/>
          <w:sz w:val="26"/>
          <w:szCs w:val="26"/>
        </w:rPr>
        <w:t>осуществление предпринимательской деятельности без государственной регистрации в качестве индивидуального предпринимателя за исключением случаев, предусмотренных частью 2 статьи 14.17.1 настоящего Кодекса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line="260" w:lineRule="atLeast"/>
        <w:ind w:firstLine="709"/>
        <w:jc w:val="both"/>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не имеется.</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предусмотренных ст. 4.2 КоАП РФ, смягчающих административную ответственность, суд не усматривает. </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предусмотренных ст. 4.3 КоАП РФ, отягчающих административную ответственность, суд не усматривает. </w:t>
      </w:r>
    </w:p>
    <w:p>
      <w:pPr>
        <w:spacing w:before="0" w:after="0" w:line="260" w:lineRule="atLeast"/>
        <w:ind w:firstLine="709"/>
        <w:jc w:val="both"/>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отсутствие обстоятельств, смягчающих и отягчающих административную ответственность, обстоятельства совершения административного правонарушения, и полагает </w:t>
      </w:r>
      <w:r>
        <w:rPr>
          <w:rFonts w:ascii="Times New Roman" w:eastAsia="Times New Roman" w:hAnsi="Times New Roman" w:cs="Times New Roman"/>
          <w:sz w:val="26"/>
          <w:szCs w:val="26"/>
        </w:rPr>
        <w:t xml:space="preserve">возможным назначить </w:t>
      </w:r>
      <w:r>
        <w:rPr>
          <w:rFonts w:ascii="Times New Roman" w:eastAsia="Times New Roman" w:hAnsi="Times New Roman" w:cs="Times New Roman"/>
          <w:sz w:val="26"/>
          <w:szCs w:val="26"/>
        </w:rPr>
        <w:t>Гарибову</w:t>
      </w:r>
      <w:r>
        <w:rPr>
          <w:rFonts w:ascii="Times New Roman" w:eastAsia="Times New Roman" w:hAnsi="Times New Roman" w:cs="Times New Roman"/>
          <w:sz w:val="26"/>
          <w:szCs w:val="26"/>
        </w:rPr>
        <w:t xml:space="preserve"> К.И.</w:t>
      </w:r>
      <w:r>
        <w:rPr>
          <w:rFonts w:ascii="Times New Roman" w:eastAsia="Times New Roman" w:hAnsi="Times New Roman" w:cs="Times New Roman"/>
          <w:sz w:val="26"/>
          <w:szCs w:val="26"/>
        </w:rPr>
        <w:t xml:space="preserve"> административное наказание в виде административного штрафа, поскольку данный вид наказания является справедливым и соразмерным содеянному.</w:t>
      </w:r>
    </w:p>
    <w:p>
      <w:pPr>
        <w:spacing w:before="0" w:after="0" w:line="260" w:lineRule="atLeast"/>
        <w:ind w:firstLine="709"/>
        <w:jc w:val="both"/>
      </w:pPr>
      <w:r>
        <w:rPr>
          <w:rFonts w:ascii="Times New Roman" w:eastAsia="Times New Roman" w:hAnsi="Times New Roman" w:cs="Times New Roman"/>
          <w:sz w:val="26"/>
          <w:szCs w:val="26"/>
        </w:rPr>
        <w:t>На основании изложенного, и руководствуясь ст.ст. 29.10, 29.11 КоАП РФ,</w:t>
      </w:r>
    </w:p>
    <w:p>
      <w:pPr>
        <w:spacing w:before="0" w:after="0" w:line="240" w:lineRule="atLeast"/>
        <w:ind w:firstLine="709"/>
        <w:jc w:val="both"/>
      </w:pPr>
    </w:p>
    <w:p>
      <w:pPr>
        <w:spacing w:before="0" w:after="0" w:line="260" w:lineRule="atLeast"/>
        <w:ind w:firstLine="709"/>
        <w:jc w:val="center"/>
      </w:pPr>
      <w:r>
        <w:rPr>
          <w:rFonts w:ascii="Times New Roman" w:eastAsia="Times New Roman" w:hAnsi="Times New Roman" w:cs="Times New Roman"/>
          <w:sz w:val="26"/>
          <w:szCs w:val="26"/>
        </w:rPr>
        <w:t>ПОСТАНОВИЛ:</w:t>
      </w:r>
    </w:p>
    <w:p>
      <w:pPr>
        <w:spacing w:before="0" w:after="0" w:line="260" w:lineRule="atLeast"/>
        <w:ind w:firstLine="709"/>
        <w:jc w:val="center"/>
      </w:pPr>
    </w:p>
    <w:p>
      <w:pPr>
        <w:spacing w:before="0" w:after="0" w:line="260" w:lineRule="atLeast"/>
        <w:ind w:firstLine="709"/>
        <w:jc w:val="both"/>
      </w:pPr>
      <w:r>
        <w:rPr>
          <w:rFonts w:ascii="Times New Roman" w:eastAsia="Times New Roman" w:hAnsi="Times New Roman" w:cs="Times New Roman"/>
          <w:sz w:val="26"/>
          <w:szCs w:val="26"/>
        </w:rPr>
        <w:t>Гарибова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Камиля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Исмат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rPr>
        <w:t xml:space="preserve">ч. 1 ст. 14.1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1 000 рублей. </w:t>
      </w:r>
    </w:p>
    <w:p>
      <w:pPr>
        <w:widowControl w:val="0"/>
        <w:spacing w:before="0" w:after="0" w:line="240" w:lineRule="atLeast"/>
        <w:ind w:firstLine="709"/>
        <w:jc w:val="both"/>
      </w:pPr>
      <w:r>
        <w:rPr>
          <w:rFonts w:ascii="Times New Roman" w:eastAsia="Times New Roman" w:hAnsi="Times New Roman" w:cs="Times New Roman"/>
          <w:sz w:val="22"/>
          <w:szCs w:val="22"/>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ИНН 8601073664, КПП 860101001</w:t>
      </w:r>
      <w:r>
        <w:rPr>
          <w:rFonts w:ascii="Times New Roman" w:eastAsia="Times New Roman" w:hAnsi="Times New Roman" w:cs="Times New Roman"/>
          <w:sz w:val="22"/>
          <w:szCs w:val="22"/>
        </w:rPr>
        <w:t xml:space="preserve">; КБК </w:t>
      </w:r>
      <w:r>
        <w:rPr>
          <w:rFonts w:ascii="Times New Roman" w:eastAsia="Times New Roman" w:hAnsi="Times New Roman" w:cs="Times New Roman"/>
          <w:sz w:val="22"/>
          <w:szCs w:val="22"/>
        </w:rPr>
        <w:t>72011601143019000140</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УИН </w:t>
      </w:r>
      <w:r>
        <w:rPr>
          <w:rFonts w:ascii="Times New Roman" w:eastAsia="Times New Roman" w:hAnsi="Times New Roman" w:cs="Times New Roman"/>
          <w:sz w:val="22"/>
          <w:szCs w:val="22"/>
        </w:rPr>
        <w:t>0412365400265000632514178</w:t>
      </w:r>
      <w:r>
        <w:rPr>
          <w:rFonts w:ascii="Times New Roman" w:eastAsia="Times New Roman" w:hAnsi="Times New Roman" w:cs="Times New Roman"/>
          <w:sz w:val="22"/>
          <w:szCs w:val="22"/>
        </w:rPr>
        <w:t>.</w:t>
      </w:r>
    </w:p>
    <w:p>
      <w:pPr>
        <w:widowControl w:val="0"/>
        <w:spacing w:before="0" w:after="0" w:line="260" w:lineRule="atLeast"/>
        <w:ind w:firstLine="709"/>
        <w:jc w:val="both"/>
      </w:pPr>
      <w:r>
        <w:rPr>
          <w:rFonts w:ascii="Times New Roman" w:eastAsia="Times New Roman" w:hAnsi="Times New Roman" w:cs="Times New Roman"/>
          <w:sz w:val="26"/>
          <w:szCs w:val="26"/>
        </w:rPr>
        <w:t>Копию квитанции об оплате административного штрафа необходимо предоставить по адресу: ХМАО – Югра, г. Сургут, ул. Гагарина, д. 9, каб. 102.</w:t>
      </w:r>
    </w:p>
    <w:p>
      <w:pPr>
        <w:widowControl w:val="0"/>
        <w:spacing w:before="0" w:after="0" w:line="260" w:lineRule="atLeast"/>
        <w:ind w:firstLine="709"/>
        <w:jc w:val="both"/>
      </w:pPr>
      <w:r>
        <w:rPr>
          <w:rFonts w:ascii="Times New Roman" w:eastAsia="Times New Roman" w:hAnsi="Times New Roman" w:cs="Times New Roman"/>
          <w:sz w:val="26"/>
          <w:szCs w:val="26"/>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Российской Федерации об административных правонарушениях.</w:t>
      </w:r>
    </w:p>
    <w:p>
      <w:pPr>
        <w:widowControl w:val="0"/>
        <w:spacing w:before="0" w:after="0" w:line="260" w:lineRule="atLeast"/>
        <w:ind w:firstLine="709"/>
        <w:jc w:val="both"/>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w:t>
      </w: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А.Ю. Панков</w:t>
      </w:r>
    </w:p>
    <w:p>
      <w:pPr>
        <w:widowControl w:val="0"/>
        <w:spacing w:before="0" w:after="0" w:line="240" w:lineRule="atLeast"/>
        <w:ind w:firstLine="708"/>
        <w:jc w:val="both"/>
      </w:pPr>
    </w:p>
    <w:p>
      <w:pPr>
        <w:widowControl w:val="0"/>
        <w:spacing w:before="0" w:after="0" w:line="240" w:lineRule="atLeast"/>
        <w:jc w:val="both"/>
      </w:pPr>
      <w:r>
        <w:rPr>
          <w:rStyle w:val="cat-UserDefinedgrp-48rplc-60"/>
          <w:rFonts w:ascii="Times New Roman" w:eastAsia="Times New Roman" w:hAnsi="Times New Roman" w:cs="Times New Roman"/>
          <w:sz w:val="22"/>
          <w:szCs w:val="22"/>
        </w:rPr>
        <w:t>...</w:t>
      </w:r>
    </w:p>
    <w:tbl>
      <w:tblPr>
        <w:tblW w:w="9464" w:type="dxa"/>
        <w:tblInd w:w="113" w:type="dxa"/>
        <w:tblCellMar>
          <w:top w:w="0" w:type="dxa"/>
          <w:left w:w="0" w:type="dxa"/>
          <w:bottom w:w="0" w:type="dxa"/>
          <w:right w:w="0" w:type="dxa"/>
        </w:tblCellMar>
      </w:tblPr>
      <w:tblGrid>
        <w:gridCol w:w="4264"/>
        <w:gridCol w:w="1243"/>
        <w:gridCol w:w="3957"/>
      </w:tblGrid>
      <w:tr>
        <w:tblPrEx>
          <w:tblW w:w="9464" w:type="dxa"/>
          <w:tblInd w:w="113" w:type="dxa"/>
          <w:tblCellMar>
            <w:top w:w="0" w:type="dxa"/>
            <w:left w:w="0" w:type="dxa"/>
            <w:bottom w:w="0" w:type="dxa"/>
            <w:right w:w="0" w:type="dxa"/>
          </w:tblCellMar>
        </w:tblPrEx>
        <w:trPr>
          <w:trHeight w:val="1360"/>
        </w:trPr>
        <w:tc>
          <w:tcPr>
            <w:tcW w:w="4503" w:type="dxa"/>
            <w:noWrap w:val="0"/>
            <w:tcMar>
              <w:top w:w="5" w:type="dxa"/>
              <w:left w:w="113" w:type="dxa"/>
              <w:bottom w:w="5" w:type="dxa"/>
              <w:right w:w="113" w:type="dxa"/>
            </w:tcMar>
            <w:vAlign w:val="top"/>
            <w:hideMark/>
          </w:tcPr>
          <w:p>
            <w:pPr>
              <w:widowControl w:val="0"/>
              <w:spacing w:before="0" w:after="0"/>
              <w:jc w:val="center"/>
              <w:rPr>
                <w:b w:val="0"/>
                <w:bCs w:val="0"/>
                <w:i w:val="0"/>
                <w:iCs w:val="0"/>
                <w:smallCaps w:val="0"/>
                <w:color w:val="000000"/>
                <w:sz w:val="20"/>
                <w:szCs w:val="20"/>
              </w:rPr>
            </w:pPr>
            <w:r>
              <w:rPr>
                <w:b w:val="0"/>
                <w:bCs w:val="0"/>
                <w:i w:val="0"/>
                <w:iCs w:val="0"/>
                <w:smallCaps w:val="0"/>
                <w:color w:val="000000"/>
                <w:sz w:val="20"/>
                <w:szCs w:val="20"/>
              </w:rPr>
              <w:br/>
            </w:r>
          </w:p>
          <w:p>
            <w:pPr>
              <w:widowControl w:val="0"/>
              <w:spacing w:before="0" w:after="0"/>
              <w:jc w:val="center"/>
              <w:rPr>
                <w:b w:val="0"/>
                <w:bCs w:val="0"/>
                <w:i w:val="0"/>
                <w:iCs w:val="0"/>
                <w:smallCaps w:val="0"/>
                <w:color w:val="000000"/>
              </w:rPr>
            </w:pPr>
            <w:hyperlink r:id="rId4" w:history="1"/>
          </w:p>
        </w:tc>
        <w:tc>
          <w:tcPr>
            <w:tcW w:w="1134"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p>
        </w:tc>
        <w:tc>
          <w:tcPr>
            <w:tcW w:w="3827" w:type="dxa"/>
            <w:noWrap w:val="0"/>
            <w:tcMar>
              <w:top w:w="5" w:type="dxa"/>
              <w:left w:w="113" w:type="dxa"/>
              <w:bottom w:w="5" w:type="dxa"/>
              <w:right w:w="113" w:type="dxa"/>
            </w:tcMar>
            <w:vAlign w:val="top"/>
            <w:hideMark/>
          </w:tcPr>
          <w:p>
            <w:pPr>
              <w:widowControl w:val="0"/>
              <w:spacing w:before="0" w:after="0"/>
              <w:ind w:left="1448" w:hanging="1448"/>
              <w:rPr>
                <w:b w:val="0"/>
                <w:bCs w:val="0"/>
                <w:i w:val="0"/>
                <w:iCs w:val="0"/>
                <w:smallCaps w:val="0"/>
                <w:color w:val="000000"/>
                <w:sz w:val="27"/>
                <w:szCs w:val="27"/>
              </w:rPr>
            </w:pPr>
          </w:p>
        </w:tc>
      </w:tr>
      <w:tr>
        <w:tblPrEx>
          <w:tblW w:w="9464" w:type="dxa"/>
          <w:tblInd w:w="113" w:type="dxa"/>
          <w:tblCellMar>
            <w:top w:w="0" w:type="dxa"/>
            <w:left w:w="0" w:type="dxa"/>
            <w:bottom w:w="0" w:type="dxa"/>
            <w:right w:w="0" w:type="dxa"/>
          </w:tblCellMar>
        </w:tblPrEx>
        <w:trPr>
          <w:trHeight w:val="4508"/>
        </w:trPr>
        <w:tc>
          <w:tcPr>
            <w:tcW w:w="9464" w:type="dxa"/>
            <w:gridSpan w:val="3"/>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16"/>
                <w:szCs w:val="16"/>
              </w:rPr>
            </w:pPr>
          </w:p>
        </w:tc>
      </w:tr>
    </w:tbl>
    <w:p>
      <w:pPr>
        <w:widowControl w:val="0"/>
        <w:spacing w:before="0" w:after="0" w:line="216" w:lineRule="auto"/>
        <w:jc w:val="both"/>
        <w:rPr>
          <w:sz w:val="20"/>
          <w:szCs w:val="20"/>
        </w:rPr>
      </w:pP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94339"/>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http://sr-srg-pkms1/xlp1/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5rplc-10">
    <w:name w:val="cat-UserDefined grp-45 rplc-10"/>
    <w:basedOn w:val="DefaultParagraphFont"/>
  </w:style>
  <w:style w:type="character" w:customStyle="1" w:styleId="cat-UserDefinedgrp-47rplc-20">
    <w:name w:val="cat-UserDefined grp-47 rplc-20"/>
    <w:basedOn w:val="DefaultParagraphFont"/>
  </w:style>
  <w:style w:type="character" w:customStyle="1" w:styleId="cat-UserDefinedgrp-46rplc-21">
    <w:name w:val="cat-UserDefined grp-46 rplc-21"/>
    <w:basedOn w:val="DefaultParagraphFont"/>
  </w:style>
  <w:style w:type="character" w:customStyle="1" w:styleId="cat-UserDefinedgrp-47rplc-36">
    <w:name w:val="cat-UserDefined grp-47 rplc-36"/>
    <w:basedOn w:val="DefaultParagraphFont"/>
  </w:style>
  <w:style w:type="character" w:customStyle="1" w:styleId="cat-UserDefinedgrp-48rplc-60">
    <w:name w:val="cat-UserDefined grp-48 rplc-6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1A6F95E-D40D-434C-A025-BB419EF52E8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